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11" w:type="dxa"/>
        <w:tblLayout w:type="fixed"/>
        <w:tblLook w:val="0000"/>
      </w:tblPr>
      <w:tblGrid>
        <w:gridCol w:w="1560"/>
        <w:gridCol w:w="5103"/>
        <w:gridCol w:w="3564"/>
      </w:tblGrid>
      <w:tr w:rsidR="005A4846">
        <w:trPr>
          <w:trHeight w:val="454"/>
        </w:trPr>
        <w:tc>
          <w:tcPr>
            <w:tcW w:w="10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3 de Noviembre </w:t>
            </w:r>
          </w:p>
        </w:tc>
      </w:tr>
      <w:tr w:rsidR="005A4846">
        <w:trPr>
          <w:trHeight w:val="4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</w:rPr>
              <w:t>Ponentes</w:t>
            </w:r>
          </w:p>
        </w:tc>
      </w:tr>
      <w:tr w:rsidR="005A4846">
        <w:trPr>
          <w:trHeight w:val="4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8.30 – 9.00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A4846" w:rsidRDefault="00DF4EB0">
            <w:pPr>
              <w:tabs>
                <w:tab w:val="left" w:pos="1830"/>
              </w:tabs>
              <w:spacing w:after="0" w:line="100" w:lineRule="atLeas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Inauguración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A4846" w:rsidRDefault="00DF4EB0">
            <w:pPr>
              <w:tabs>
                <w:tab w:val="left" w:pos="1830"/>
              </w:tabs>
              <w:spacing w:after="0" w:line="100" w:lineRule="atLeas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Centro de Formación AECID</w:t>
            </w:r>
          </w:p>
          <w:p w:rsidR="005A4846" w:rsidRDefault="00DF4EB0">
            <w:pPr>
              <w:tabs>
                <w:tab w:val="left" w:pos="1830"/>
              </w:tabs>
              <w:spacing w:after="0" w:line="100" w:lineRule="atLeas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Oficina Española de Cambio Climático</w:t>
            </w:r>
          </w:p>
          <w:p w:rsidR="005A4846" w:rsidRDefault="00DF4EB0">
            <w:pPr>
              <w:tabs>
                <w:tab w:val="left" w:pos="1830"/>
              </w:tabs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PNUMA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9.00 – 10.30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tabs>
                <w:tab w:val="left" w:pos="-720"/>
              </w:tabs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 cambio climático en el ámbito local: impactos vulnerabilidades, capacidad de adaptación en el ámbito urbano y rural.</w:t>
            </w:r>
          </w:p>
          <w:p w:rsidR="005A4846" w:rsidRDefault="00DF4EB0">
            <w:pPr>
              <w:tabs>
                <w:tab w:val="left" w:pos="-720"/>
              </w:tabs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Análisis de escenarios, impactos y riesgos.</w:t>
            </w:r>
          </w:p>
          <w:p w:rsidR="005A4846" w:rsidRDefault="00DF4EB0">
            <w:pPr>
              <w:tabs>
                <w:tab w:val="left" w:pos="-720"/>
              </w:tabs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Impactos en el medio rural.</w:t>
            </w:r>
          </w:p>
          <w:p w:rsidR="005A4846" w:rsidRDefault="00DF4EB0">
            <w:pPr>
              <w:tabs>
                <w:tab w:val="left" w:pos="-720"/>
              </w:tabs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Impactos en el medio urbano.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tabs>
                <w:tab w:val="left" w:pos="-720"/>
              </w:tabs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  <w:p w:rsidR="005A4846" w:rsidRDefault="00DF4EB0">
            <w:pPr>
              <w:tabs>
                <w:tab w:val="left" w:pos="-720"/>
              </w:tabs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España. Hugo Potti.</w:t>
            </w:r>
          </w:p>
          <w:p w:rsidR="005A4846" w:rsidRDefault="00DF4EB0">
            <w:pPr>
              <w:tabs>
                <w:tab w:val="left" w:pos="-720"/>
              </w:tabs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CATIE. Claudia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Bouroncle</w:t>
            </w:r>
            <w:proofErr w:type="spellEnd"/>
          </w:p>
          <w:p w:rsidR="005A4846" w:rsidRDefault="00DF4EB0">
            <w:pPr>
              <w:tabs>
                <w:tab w:val="left" w:pos="-720"/>
              </w:tabs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Cuba.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Dagne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Boudet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Rouco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. </w:t>
            </w:r>
          </w:p>
          <w:p w:rsidR="005A4846" w:rsidRDefault="00DF4EB0">
            <w:pPr>
              <w:tabs>
                <w:tab w:val="left" w:pos="-720"/>
              </w:tabs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Tecnalia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(España). Efrén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Feliú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5A4846" w:rsidRDefault="005A4846">
            <w:pPr>
              <w:tabs>
                <w:tab w:val="left" w:pos="-720"/>
              </w:tabs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4846" w:rsidRDefault="00DF4EB0">
            <w:pPr>
              <w:tabs>
                <w:tab w:val="left" w:pos="-720"/>
              </w:tabs>
              <w:spacing w:after="0" w:line="100" w:lineRule="atLeast"/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Reporta. Carlos Díez. OTC.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 – 10.45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Café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10.45 – 12.30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PANEL.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Modera OECC. Raquel Garza.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Marco político para la adaptación local.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Proceso de desarrollo.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Componentes principales.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Gobernanza (escenario institucional).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Nivel de implementación.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Retos y lecciones aprendidas.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Argentina. María Cecilia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Boudin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Ecuador. Karina Patricia Salinas.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Panamá. Rogelio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Ascanio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Rodríguez.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Costa Rica. Alexis Rubén Madrigal.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Paraguay.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Ylsa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Avalos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Reporta. Marta Moneo. PNUMA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 – 13.30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Almuerzo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 –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Procesos de desarrollo de estrategias de adaptación local, implementación y evaluación (I).</w:t>
            </w:r>
          </w:p>
          <w:p w:rsidR="005A4846" w:rsidRDefault="00DF4EB0">
            <w:pPr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Ejemplos de desarrollo e implementación a nivel local- medio rural.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Ejemplos de desarrollo e implementación a nivel</w:t>
            </w:r>
          </w:p>
          <w:p w:rsidR="005A4846" w:rsidRDefault="00DF4EB0">
            <w:pPr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local-medio urbano.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Colombia. Eliana Álvarez.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Venezuela. Ana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Felicien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Chile.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Alvaro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Parra.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Nicaragua.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Alvaro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Martínez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Colombia.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Licet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Prieto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Reporta. OECC. Hugo Potti.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 – 15.15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Café</w:t>
            </w:r>
          </w:p>
        </w:tc>
      </w:tr>
      <w:tr w:rsidR="005A4846">
        <w:trPr>
          <w:trHeight w:val="13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15.15- 17:00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PANEL.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Modera PNUMA. Marta Moneo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Procesos de desarrollo de estrategias de adaptación local, implementación y evaluación (II): Proyectos piloto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Perú. Dimas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República Dominicana. Francisco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Arnemann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Bolivia. Magali Vargas.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Guatemala. Pablo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Perú. Edith Fernández Baca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5A4846" w:rsidRDefault="00DF4EB0" w:rsidP="00EE08E3">
            <w:pPr>
              <w:spacing w:after="0" w:line="100" w:lineRule="atLeast"/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Reporta. Elena Pita. PNUMA</w:t>
            </w:r>
          </w:p>
        </w:tc>
      </w:tr>
      <w:tr w:rsidR="005A4846">
        <w:trPr>
          <w:trHeight w:val="454"/>
        </w:trPr>
        <w:tc>
          <w:tcPr>
            <w:tcW w:w="10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b/>
              </w:rPr>
              <w:lastRenderedPageBreak/>
              <w:t xml:space="preserve">Miércoles </w:t>
            </w:r>
            <w:r>
              <w:rPr>
                <w:rFonts w:ascii="Arial" w:hAnsi="Arial" w:cs="Arial"/>
                <w:b/>
                <w:sz w:val="18"/>
                <w:szCs w:val="28"/>
              </w:rPr>
              <w:t>4 de Noviembre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A4846" w:rsidRDefault="00DF4EB0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Ponentes</w:t>
            </w:r>
          </w:p>
          <w:p w:rsidR="005A4846" w:rsidRDefault="005A4846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ind w:left="-6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8.30 – 9.00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Puntos clave del día 1.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sz w:val="18"/>
              </w:rPr>
              <w:t>OTC Guatemala. Francisco Tomás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ind w:left="-61"/>
            </w:pPr>
            <w:r>
              <w:rPr>
                <w:rFonts w:ascii="Arial" w:hAnsi="Arial" w:cs="Arial"/>
                <w:sz w:val="18"/>
              </w:rPr>
              <w:t>9.00 – 10.30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5A4846">
            <w:pPr>
              <w:snapToGrid w:val="0"/>
              <w:spacing w:after="0" w:line="100" w:lineRule="atLeast"/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Procesos de desarrollo de estrategias de adaptación local, implementación y evaluación (III): lecciones aprendidas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ab/>
              <w:t>Definición de participantes en el análisis.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ab/>
              <w:t xml:space="preserve">Proceso de desarrollo de la estrategia. 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ab/>
              <w:t>Implementación.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Uruguay.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Bethy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Molina.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Honduras. María José Bonilla.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Guatemala. Patricia Alvarado.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España (Vitoria). Andrés Alonso.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Reporta. OECC. Raquel Garza.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10.30 – 10.45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</w:rPr>
              <w:t>Café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10.45 –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PANEL.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Modera </w:t>
            </w:r>
            <w:r>
              <w:rPr>
                <w:rFonts w:ascii="Arial" w:hAnsi="Arial" w:cs="Arial"/>
                <w:bCs/>
                <w:sz w:val="18"/>
              </w:rPr>
              <w:t>OTC Guatemala. Francisco Tomás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Mecanismos de financiación para adaptación local al cambio climático.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ab/>
              <w:t>Panorámica de Fondos y Programas para adaptación al cambio climático.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ab/>
              <w:t>Financiación privada y Adaptación al cambio climático.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ab/>
              <w:t>Mecanismos nacionales de financiación.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Microfinanzas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>.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México. Gloria Cuevas.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Colombia. Fabiola Suárez.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El Salvador. Francisco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Reinery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>.</w:t>
            </w: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sz w:val="18"/>
              </w:rPr>
              <w:t xml:space="preserve">CTCN. Claudia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Bouroncle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>, Marta Moneo</w:t>
            </w:r>
          </w:p>
          <w:p w:rsidR="005A4846" w:rsidRDefault="005A4846">
            <w:pPr>
              <w:spacing w:after="0" w:line="100" w:lineRule="atLeast"/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sz w:val="18"/>
              </w:rPr>
              <w:t>Reporta: Ignacio Rojano. OTC Colombia</w:t>
            </w:r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12.00 – 12.30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-Experiencias de adaptación basada en ecosistemas en entornos urbanos en Colombia.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-Explicación de la visita técnica.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sz w:val="18"/>
              </w:rPr>
              <w:t xml:space="preserve">GIZ y Fundación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Ecoprogreso</w:t>
            </w:r>
            <w:proofErr w:type="spellEnd"/>
          </w:p>
        </w:tc>
      </w:tr>
      <w:tr w:rsidR="005A4846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12.30 – 13.30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</w:rPr>
              <w:t>Almuerzo</w:t>
            </w:r>
          </w:p>
        </w:tc>
      </w:tr>
      <w:tr w:rsidR="005A4846">
        <w:trPr>
          <w:trHeight w:val="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13.30 – 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VISITA TÉCNICA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sz w:val="18"/>
              </w:rPr>
              <w:t xml:space="preserve">GIZ y Fundación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Ecoprogreso</w:t>
            </w:r>
            <w:proofErr w:type="spellEnd"/>
          </w:p>
        </w:tc>
      </w:tr>
    </w:tbl>
    <w:p w:rsidR="00EE08E3" w:rsidRDefault="00EE08E3">
      <w:pPr>
        <w:spacing w:after="0" w:line="100" w:lineRule="atLeast"/>
        <w:rPr>
          <w:rFonts w:ascii="Arial" w:hAnsi="Arial" w:cs="Arial"/>
          <w:sz w:val="18"/>
        </w:rPr>
      </w:pPr>
    </w:p>
    <w:p w:rsidR="00EE08E3" w:rsidRDefault="00EE08E3">
      <w:pPr>
        <w:suppressAutoHyphens w:val="0"/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tbl>
      <w:tblPr>
        <w:tblW w:w="10227" w:type="dxa"/>
        <w:tblInd w:w="-611" w:type="dxa"/>
        <w:tblLayout w:type="fixed"/>
        <w:tblLook w:val="0000"/>
      </w:tblPr>
      <w:tblGrid>
        <w:gridCol w:w="1560"/>
        <w:gridCol w:w="5103"/>
        <w:gridCol w:w="3564"/>
      </w:tblGrid>
      <w:tr w:rsidR="005A4846" w:rsidTr="00EE08E3">
        <w:trPr>
          <w:trHeight w:val="454"/>
        </w:trPr>
        <w:tc>
          <w:tcPr>
            <w:tcW w:w="10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28"/>
              </w:rPr>
              <w:lastRenderedPageBreak/>
              <w:t>Jueves 5 de Noviembre</w:t>
            </w: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4846" w:rsidRDefault="00DF4EB0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4846" w:rsidRDefault="00DF4EB0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4846" w:rsidRDefault="005A484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A4846" w:rsidRDefault="00DF4EB0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Ponentes</w:t>
            </w:r>
          </w:p>
          <w:p w:rsidR="005A4846" w:rsidRDefault="005A4846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8.30 – 9.00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Puntos clave del día 2.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sz w:val="18"/>
              </w:rPr>
              <w:t>PNUMA. Marta Moneo.</w:t>
            </w: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9.00 – 10.30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Marcos de monitoreo y evaluación.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ab/>
              <w:t>Definición de marcos de monitoreo.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ab/>
              <w:t>Sistemas de indicadores.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ab/>
              <w:t>Sistemas de verificación.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ab/>
              <w:t>Bases de datos.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Costa Rica. Carolina Reyes.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Mexico</w:t>
            </w:r>
            <w:proofErr w:type="spellEnd"/>
            <w:r>
              <w:rPr>
                <w:rFonts w:ascii="Arial" w:hAnsi="Arial" w:cs="Arial"/>
                <w:sz w:val="18"/>
              </w:rPr>
              <w:t>. Gloria Cuevas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Perú. Yuri Romero.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CATIE. Claudia </w:t>
            </w:r>
            <w:proofErr w:type="spellStart"/>
            <w:r>
              <w:rPr>
                <w:rFonts w:ascii="Arial" w:hAnsi="Arial" w:cs="Arial"/>
                <w:sz w:val="18"/>
              </w:rPr>
              <w:t>Bouroncle</w:t>
            </w:r>
            <w:proofErr w:type="spellEnd"/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sz w:val="18"/>
              </w:rPr>
              <w:t>Reporta: PNUMA. Marta Moneo.</w:t>
            </w: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10.30 – 10.45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</w:rPr>
              <w:t>Café</w:t>
            </w: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10.45 –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Ejemplos de proyectos de la cooperación bilateral en materia de adaptación al cambio climático a nivel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local .</w:t>
            </w:r>
            <w:proofErr w:type="gramEnd"/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sz w:val="18"/>
              </w:rPr>
              <w:t xml:space="preserve">AECID.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OTCs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Guatemala, Costa Rica y Colombia.</w:t>
            </w: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12.00 –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Redes regionales- transferencia de conocimientos/ conexión de agentes implicados.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Argentina. RAMCC. Carlos Rodrigo </w:t>
            </w:r>
            <w:proofErr w:type="spellStart"/>
            <w:r>
              <w:rPr>
                <w:rFonts w:ascii="Arial" w:hAnsi="Arial" w:cs="Arial"/>
                <w:sz w:val="18"/>
              </w:rPr>
              <w:t>Amanquez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PNUMA. REGATTA. Marta Moneo. </w:t>
            </w:r>
          </w:p>
          <w:p w:rsidR="005A4846" w:rsidRDefault="00DF4EB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Ecuador. Consorcio de Gobiernos Autónomos provinciales de Ecuador.</w:t>
            </w:r>
          </w:p>
          <w:p w:rsidR="005A4846" w:rsidRDefault="005A4846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sz w:val="18"/>
              </w:rPr>
              <w:t>Reporta. PNUMA. Elena Pita.</w:t>
            </w: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A4846" w:rsidRDefault="00DF4EB0">
            <w:pPr>
              <w:spacing w:after="0" w:line="100" w:lineRule="atLeas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13.00  14.00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</w:rPr>
              <w:t>Almuerzo</w:t>
            </w: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15.30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Trabajo de grupo: principales retos y necesidades de los países en materia de adaptación local.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846" w:rsidRDefault="005A4846">
            <w:pPr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</w:rPr>
            </w:pPr>
          </w:p>
          <w:p w:rsidR="005A4846" w:rsidRDefault="00DF4EB0">
            <w:pPr>
              <w:spacing w:after="0" w:line="100" w:lineRule="atLeast"/>
            </w:pPr>
            <w:r>
              <w:rPr>
                <w:rFonts w:ascii="Arial" w:hAnsi="Arial" w:cs="Arial"/>
                <w:bCs/>
                <w:sz w:val="18"/>
              </w:rPr>
              <w:t>Facilitadores: PNUMA. Elena Pita y Marta Moneo.</w:t>
            </w:r>
          </w:p>
          <w:p w:rsidR="005A4846" w:rsidRDefault="005A4846">
            <w:pPr>
              <w:spacing w:after="0" w:line="100" w:lineRule="atLeast"/>
            </w:pP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i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15.30 – 16.00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24"/>
              </w:rPr>
              <w:t>EVALUACIÓN POR PARTE DEL CFCE</w:t>
            </w:r>
          </w:p>
        </w:tc>
      </w:tr>
      <w:tr w:rsidR="005A4846" w:rsidTr="00EE08E3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rPr>
                <w:rFonts w:ascii="Arial" w:hAnsi="Arial" w:cs="Arial"/>
                <w:b/>
                <w:i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16.00 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4846" w:rsidRDefault="00DF4EB0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24"/>
              </w:rPr>
              <w:t>Clausura</w:t>
            </w:r>
          </w:p>
        </w:tc>
      </w:tr>
    </w:tbl>
    <w:p w:rsidR="00DF4EB0" w:rsidRDefault="00DF4EB0">
      <w:pPr>
        <w:jc w:val="center"/>
      </w:pPr>
    </w:p>
    <w:sectPr w:rsidR="00DF4EB0" w:rsidSect="00AC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50" w:bottom="1417" w:left="1701" w:header="708" w:footer="175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78" w:rsidRDefault="00063678">
      <w:pPr>
        <w:spacing w:after="0" w:line="240" w:lineRule="auto"/>
      </w:pPr>
      <w:r>
        <w:separator/>
      </w:r>
    </w:p>
  </w:endnote>
  <w:endnote w:type="continuationSeparator" w:id="0">
    <w:p w:rsidR="00063678" w:rsidRDefault="0006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5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0E" w:rsidRDefault="00AC4D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0E" w:rsidRDefault="00AC4D0E">
    <w:pPr>
      <w:ind w:right="49"/>
      <w:jc w:val="center"/>
      <w:rPr>
        <w:rFonts w:ascii="Arial" w:hAnsi="Arial" w:cs="Arial"/>
        <w:b/>
        <w:bCs/>
        <w:smallCaps/>
        <w:color w:val="0000FF"/>
      </w:rPr>
    </w:pPr>
  </w:p>
  <w:p w:rsidR="00AC4D0E" w:rsidRDefault="00AC4D0E">
    <w:pPr>
      <w:ind w:right="49"/>
      <w:jc w:val="center"/>
      <w:rPr>
        <w:rFonts w:ascii="Arial" w:hAnsi="Arial" w:cs="Arial"/>
        <w:b/>
        <w:bCs/>
        <w:smallCaps/>
        <w:color w:val="0000FF"/>
      </w:rPr>
    </w:pPr>
  </w:p>
  <w:p w:rsidR="005A4846" w:rsidRDefault="00225087">
    <w:pPr>
      <w:ind w:right="49"/>
      <w:jc w:val="center"/>
      <w:rPr>
        <w:rFonts w:ascii="Arial" w:hAnsi="Arial" w:cs="Arial"/>
        <w:b/>
        <w:bCs/>
        <w:smallCaps/>
        <w:color w:val="0000FF"/>
      </w:rPr>
    </w:pPr>
    <w:r>
      <w:rPr>
        <w:noProof/>
        <w:lang w:val="es-ES" w:eastAsia="es-ES"/>
      </w:rPr>
      <w:drawing>
        <wp:inline distT="0" distB="0" distL="0" distR="0">
          <wp:extent cx="1162050" cy="40349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34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4D0E" w:rsidRDefault="00AC4D0E">
    <w:pPr>
      <w:ind w:right="49"/>
      <w:jc w:val="center"/>
      <w:rPr>
        <w:rFonts w:ascii="Arial" w:hAnsi="Arial" w:cs="Arial"/>
        <w:b/>
        <w:bCs/>
        <w:smallCaps/>
        <w:color w:val="0000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0E" w:rsidRDefault="00AC4D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78" w:rsidRDefault="00063678">
      <w:pPr>
        <w:spacing w:after="0" w:line="240" w:lineRule="auto"/>
      </w:pPr>
      <w:r>
        <w:separator/>
      </w:r>
    </w:p>
  </w:footnote>
  <w:footnote w:type="continuationSeparator" w:id="0">
    <w:p w:rsidR="00063678" w:rsidRDefault="0006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0E" w:rsidRDefault="00AC4D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2" w:type="dxa"/>
      <w:tblInd w:w="-601" w:type="dxa"/>
      <w:tblLayout w:type="fixed"/>
      <w:tblLook w:val="0000"/>
    </w:tblPr>
    <w:tblGrid>
      <w:gridCol w:w="3481"/>
      <w:gridCol w:w="3519"/>
      <w:gridCol w:w="479"/>
      <w:gridCol w:w="2933"/>
    </w:tblGrid>
    <w:tr w:rsidR="005A4846" w:rsidTr="0094690E">
      <w:tc>
        <w:tcPr>
          <w:tcW w:w="3481" w:type="dxa"/>
          <w:shd w:val="clear" w:color="auto" w:fill="auto"/>
        </w:tcPr>
        <w:p w:rsidR="005A4846" w:rsidRDefault="00225087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066925" cy="3810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shd w:val="clear" w:color="auto" w:fill="auto"/>
        </w:tcPr>
        <w:p w:rsidR="005A4846" w:rsidRDefault="00225087">
          <w:pPr>
            <w:pStyle w:val="Encabezado"/>
            <w:ind w:left="708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647825" cy="400050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" w:type="dxa"/>
          <w:shd w:val="clear" w:color="auto" w:fill="auto"/>
        </w:tcPr>
        <w:p w:rsidR="005A4846" w:rsidRDefault="005A4846">
          <w:pPr>
            <w:pStyle w:val="Encabezado"/>
            <w:snapToGrid w:val="0"/>
          </w:pPr>
        </w:p>
      </w:tc>
      <w:tc>
        <w:tcPr>
          <w:tcW w:w="2933" w:type="dxa"/>
          <w:shd w:val="clear" w:color="auto" w:fill="auto"/>
        </w:tcPr>
        <w:p w:rsidR="005A4846" w:rsidRDefault="00225087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724025" cy="390525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846" w:rsidRDefault="005A4846">
    <w:pPr>
      <w:spacing w:after="0" w:line="100" w:lineRule="atLeast"/>
      <w:jc w:val="center"/>
      <w:rPr>
        <w:b/>
        <w:sz w:val="24"/>
        <w:szCs w:val="24"/>
        <w:lang w:val="es-MX"/>
      </w:rPr>
    </w:pPr>
  </w:p>
  <w:p w:rsidR="005A4846" w:rsidRDefault="00DF4EB0">
    <w:pPr>
      <w:spacing w:after="0" w:line="100" w:lineRule="atLeast"/>
      <w:jc w:val="center"/>
      <w:rPr>
        <w:b/>
        <w:sz w:val="24"/>
        <w:szCs w:val="24"/>
        <w:lang w:val="es-MX"/>
      </w:rPr>
    </w:pPr>
    <w:r>
      <w:rPr>
        <w:b/>
        <w:sz w:val="24"/>
        <w:szCs w:val="24"/>
        <w:lang w:val="es-MX"/>
      </w:rPr>
      <w:t>TALLER REGIONAL SOBRE ADAPTACIÓN AL CAMBIO CLIMÁTICO A NIVEL LOCAL</w:t>
    </w:r>
  </w:p>
  <w:p w:rsidR="005A4846" w:rsidRDefault="00DF4EB0">
    <w:pPr>
      <w:spacing w:after="0" w:line="100" w:lineRule="atLeast"/>
      <w:jc w:val="center"/>
      <w:rPr>
        <w:b/>
        <w:sz w:val="24"/>
        <w:szCs w:val="24"/>
        <w:lang w:val="es-MX"/>
      </w:rPr>
    </w:pPr>
    <w:r>
      <w:rPr>
        <w:b/>
        <w:sz w:val="24"/>
        <w:szCs w:val="24"/>
        <w:lang w:val="es-MX"/>
      </w:rPr>
      <w:t>Centro de Formación de la Cooperación Española de Cartagena de Indias</w:t>
    </w:r>
  </w:p>
  <w:p w:rsidR="005A4846" w:rsidRDefault="00DF4EB0">
    <w:pPr>
      <w:spacing w:after="0" w:line="100" w:lineRule="atLeast"/>
      <w:jc w:val="center"/>
      <w:rPr>
        <w:rFonts w:ascii="Arial" w:hAnsi="Arial" w:cs="Arial"/>
        <w:b/>
        <w:sz w:val="18"/>
        <w:lang w:val="en-US"/>
      </w:rPr>
    </w:pPr>
    <w:r>
      <w:rPr>
        <w:b/>
        <w:sz w:val="24"/>
        <w:szCs w:val="24"/>
        <w:lang w:val="es-MX"/>
      </w:rPr>
      <w:t xml:space="preserve"> 3, 4 y 5 de noviembre de 201</w:t>
    </w:r>
    <w:r w:rsidR="00A700CE">
      <w:rPr>
        <w:b/>
        <w:sz w:val="24"/>
        <w:szCs w:val="24"/>
        <w:lang w:val="es-MX"/>
      </w:rPr>
      <w:t>5</w:t>
    </w:r>
  </w:p>
  <w:p w:rsidR="005A4846" w:rsidRDefault="00DF4EB0">
    <w:pPr>
      <w:jc w:val="center"/>
    </w:pPr>
    <w:r>
      <w:rPr>
        <w:rFonts w:ascii="Arial" w:hAnsi="Arial" w:cs="Arial"/>
        <w:b/>
        <w:sz w:val="18"/>
        <w:lang w:val="en-US"/>
      </w:rPr>
      <w:t xml:space="preserve">AGENDA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0E" w:rsidRDefault="00AC4D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5087"/>
    <w:rsid w:val="00063678"/>
    <w:rsid w:val="00225087"/>
    <w:rsid w:val="005A4846"/>
    <w:rsid w:val="005E3F09"/>
    <w:rsid w:val="0094690E"/>
    <w:rsid w:val="00A700CE"/>
    <w:rsid w:val="00AC4D0E"/>
    <w:rsid w:val="00DF4EB0"/>
    <w:rsid w:val="00E2112D"/>
    <w:rsid w:val="00EC3C9A"/>
    <w:rsid w:val="00EE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46"/>
    <w:pPr>
      <w:suppressAutoHyphens/>
      <w:spacing w:after="200" w:line="276" w:lineRule="auto"/>
    </w:pPr>
    <w:rPr>
      <w:rFonts w:ascii="Calibri" w:eastAsia="Arial Unicode MS" w:hAnsi="Calibri" w:cs="font305"/>
      <w:sz w:val="22"/>
      <w:szCs w:val="22"/>
      <w:lang w:val="es-PA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A4846"/>
    <w:rPr>
      <w:rFonts w:ascii="Arial" w:eastAsia="Arial Unicode MS" w:hAnsi="Arial" w:cs="Arial" w:hint="default"/>
    </w:rPr>
  </w:style>
  <w:style w:type="character" w:customStyle="1" w:styleId="WW8Num2z0">
    <w:name w:val="WW8Num2z0"/>
    <w:rsid w:val="005A4846"/>
    <w:rPr>
      <w:rFonts w:ascii="Symbol" w:hAnsi="Symbol" w:cs="Symbol" w:hint="default"/>
    </w:rPr>
  </w:style>
  <w:style w:type="character" w:customStyle="1" w:styleId="WW8Num2z1">
    <w:name w:val="WW8Num2z1"/>
    <w:rsid w:val="005A4846"/>
    <w:rPr>
      <w:rFonts w:ascii="Courier New" w:hAnsi="Courier New" w:cs="Courier New" w:hint="default"/>
    </w:rPr>
  </w:style>
  <w:style w:type="character" w:customStyle="1" w:styleId="WW8Num2z2">
    <w:name w:val="WW8Num2z2"/>
    <w:rsid w:val="005A4846"/>
    <w:rPr>
      <w:rFonts w:ascii="Wingdings" w:hAnsi="Wingdings" w:cs="Wingdings" w:hint="default"/>
    </w:rPr>
  </w:style>
  <w:style w:type="character" w:customStyle="1" w:styleId="WW8Num2z3">
    <w:name w:val="WW8Num2z3"/>
    <w:rsid w:val="005A4846"/>
  </w:style>
  <w:style w:type="character" w:customStyle="1" w:styleId="WW8Num2z4">
    <w:name w:val="WW8Num2z4"/>
    <w:rsid w:val="005A4846"/>
  </w:style>
  <w:style w:type="character" w:customStyle="1" w:styleId="WW8Num2z5">
    <w:name w:val="WW8Num2z5"/>
    <w:rsid w:val="005A4846"/>
  </w:style>
  <w:style w:type="character" w:customStyle="1" w:styleId="WW8Num2z6">
    <w:name w:val="WW8Num2z6"/>
    <w:rsid w:val="005A4846"/>
  </w:style>
  <w:style w:type="character" w:customStyle="1" w:styleId="WW8Num2z7">
    <w:name w:val="WW8Num2z7"/>
    <w:rsid w:val="005A4846"/>
  </w:style>
  <w:style w:type="character" w:customStyle="1" w:styleId="WW8Num2z8">
    <w:name w:val="WW8Num2z8"/>
    <w:rsid w:val="005A4846"/>
  </w:style>
  <w:style w:type="character" w:customStyle="1" w:styleId="WW8Num1z1">
    <w:name w:val="WW8Num1z1"/>
    <w:rsid w:val="005A4846"/>
    <w:rPr>
      <w:rFonts w:ascii="Courier New" w:hAnsi="Courier New" w:cs="Courier New" w:hint="default"/>
    </w:rPr>
  </w:style>
  <w:style w:type="character" w:customStyle="1" w:styleId="WW8Num1z2">
    <w:name w:val="WW8Num1z2"/>
    <w:rsid w:val="005A4846"/>
    <w:rPr>
      <w:rFonts w:ascii="Wingdings" w:hAnsi="Wingdings" w:cs="Wingdings" w:hint="default"/>
    </w:rPr>
  </w:style>
  <w:style w:type="character" w:customStyle="1" w:styleId="WW8Num1z3">
    <w:name w:val="WW8Num1z3"/>
    <w:rsid w:val="005A4846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5A4846"/>
  </w:style>
  <w:style w:type="character" w:customStyle="1" w:styleId="Fuentedeprrafopredeter2">
    <w:name w:val="Fuente de párrafo predeter.2"/>
    <w:rsid w:val="005A4846"/>
  </w:style>
  <w:style w:type="character" w:customStyle="1" w:styleId="HeaderChar">
    <w:name w:val="Header Char"/>
    <w:basedOn w:val="Fuentedeprrafopredeter2"/>
    <w:rsid w:val="005A4846"/>
  </w:style>
  <w:style w:type="character" w:customStyle="1" w:styleId="FooterChar">
    <w:name w:val="Footer Char"/>
    <w:basedOn w:val="Fuentedeprrafopredeter2"/>
    <w:rsid w:val="005A4846"/>
  </w:style>
  <w:style w:type="character" w:customStyle="1" w:styleId="CommentTextChar">
    <w:name w:val="Comment Text Char"/>
    <w:basedOn w:val="Fuentedeprrafopredeter2"/>
    <w:rsid w:val="005A4846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basedOn w:val="Fuentedeprrafopredeter2"/>
    <w:rsid w:val="005A484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A4846"/>
    <w:rPr>
      <w:rFonts w:cs="Courier New"/>
    </w:rPr>
  </w:style>
  <w:style w:type="character" w:customStyle="1" w:styleId="ListLabel2">
    <w:name w:val="ListLabel 2"/>
    <w:rsid w:val="005A4846"/>
    <w:rPr>
      <w:rFonts w:cs="font305"/>
    </w:rPr>
  </w:style>
  <w:style w:type="character" w:customStyle="1" w:styleId="ListLabel3">
    <w:name w:val="ListLabel 3"/>
    <w:rsid w:val="005A4846"/>
    <w:rPr>
      <w:rFonts w:cs="Arial"/>
    </w:rPr>
  </w:style>
  <w:style w:type="character" w:customStyle="1" w:styleId="EncabezadoCar">
    <w:name w:val="Encabezado Car"/>
    <w:basedOn w:val="Fuentedeprrafopredeter1"/>
    <w:rsid w:val="005A4846"/>
    <w:rPr>
      <w:rFonts w:ascii="Calibri" w:eastAsia="Arial Unicode MS" w:hAnsi="Calibri" w:cs="font305"/>
      <w:sz w:val="22"/>
      <w:szCs w:val="22"/>
      <w:lang w:val="es-PA"/>
    </w:rPr>
  </w:style>
  <w:style w:type="paragraph" w:customStyle="1" w:styleId="Encabezado2">
    <w:name w:val="Encabezado2"/>
    <w:basedOn w:val="Normal"/>
    <w:next w:val="Textoindependiente"/>
    <w:rsid w:val="005A484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independiente">
    <w:name w:val="Body Text"/>
    <w:basedOn w:val="Normal"/>
    <w:rsid w:val="005A4846"/>
    <w:pPr>
      <w:spacing w:after="120"/>
    </w:pPr>
  </w:style>
  <w:style w:type="paragraph" w:styleId="Lista">
    <w:name w:val="List"/>
    <w:basedOn w:val="Textoindependiente"/>
    <w:rsid w:val="005A4846"/>
  </w:style>
  <w:style w:type="paragraph" w:customStyle="1" w:styleId="Etiqueta">
    <w:name w:val="Etiqueta"/>
    <w:basedOn w:val="Normal"/>
    <w:rsid w:val="005A484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5A4846"/>
    <w:pPr>
      <w:suppressLineNumbers/>
    </w:pPr>
  </w:style>
  <w:style w:type="paragraph" w:customStyle="1" w:styleId="Encabezado1">
    <w:name w:val="Encabezado1"/>
    <w:basedOn w:val="Normal"/>
    <w:next w:val="Textoindependiente"/>
    <w:rsid w:val="005A484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rrafodelista1">
    <w:name w:val="Párrafo de lista1"/>
    <w:basedOn w:val="Normal"/>
    <w:rsid w:val="005A4846"/>
    <w:pPr>
      <w:ind w:left="720"/>
    </w:pPr>
  </w:style>
  <w:style w:type="paragraph" w:styleId="Encabezado">
    <w:name w:val="header"/>
    <w:basedOn w:val="Normal"/>
    <w:rsid w:val="005A4846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rsid w:val="005A4846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comentario1">
    <w:name w:val="Texto comentario1"/>
    <w:basedOn w:val="Normal"/>
    <w:rsid w:val="005A4846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xtodeglobo1">
    <w:name w:val="Texto de globo1"/>
    <w:basedOn w:val="Normal"/>
    <w:rsid w:val="005A484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5A4846"/>
    <w:pPr>
      <w:suppressLineNumbers/>
    </w:pPr>
  </w:style>
  <w:style w:type="paragraph" w:customStyle="1" w:styleId="Encabezadodelatabla">
    <w:name w:val="Encabezado de la tabla"/>
    <w:basedOn w:val="Contenidodelatabla"/>
    <w:rsid w:val="005A4846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90E"/>
    <w:rPr>
      <w:rFonts w:ascii="Tahoma" w:eastAsia="Arial Unicode MS" w:hAnsi="Tahoma" w:cs="Tahoma"/>
      <w:sz w:val="16"/>
      <w:szCs w:val="16"/>
      <w:lang w:val="es-P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mmoneo</dc:creator>
  <cp:lastModifiedBy>at_uaoecc5</cp:lastModifiedBy>
  <cp:revision>3</cp:revision>
  <cp:lastPrinted>2015-10-15T15:48:00Z</cp:lastPrinted>
  <dcterms:created xsi:type="dcterms:W3CDTF">2016-02-22T12:00:00Z</dcterms:created>
  <dcterms:modified xsi:type="dcterms:W3CDTF">2016-02-22T12:03:00Z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